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201</w:t>
      </w:r>
      <w:r w:rsidR="00726A7C">
        <w:t>9</w:t>
      </w:r>
    </w:p>
    <w:p w:rsidR="00DC29E4" w:rsidRDefault="00482116" w:rsidP="00377253">
      <w:pPr>
        <w:pStyle w:val="PS-hlavika1"/>
      </w:pPr>
      <w:r>
        <w:t>8</w:t>
      </w:r>
      <w:r w:rsidR="00DC29E4">
        <w:t>. volební období</w:t>
      </w:r>
    </w:p>
    <w:p w:rsidR="00DC29E4" w:rsidRDefault="00DC29E4" w:rsidP="000E730C">
      <w:pPr>
        <w:pStyle w:val="PS-slousnesen"/>
      </w:pPr>
    </w:p>
    <w:p w:rsidR="00DC29E4" w:rsidRDefault="00DC29E4" w:rsidP="00903269">
      <w:pPr>
        <w:pStyle w:val="PS-hlavika3"/>
      </w:pPr>
      <w:r>
        <w:t>USNESENÍ</w:t>
      </w:r>
    </w:p>
    <w:p w:rsidR="00DC29E4" w:rsidRDefault="006F3501" w:rsidP="00377253">
      <w:pPr>
        <w:pStyle w:val="PS-hlavika1"/>
      </w:pPr>
      <w:r>
        <w:t>Poslanecké sněmovny</w:t>
      </w:r>
    </w:p>
    <w:p w:rsidR="00DC29E4" w:rsidRDefault="00DC29E4" w:rsidP="00377253">
      <w:pPr>
        <w:pStyle w:val="PS-hlavika1"/>
      </w:pPr>
      <w:r>
        <w:t xml:space="preserve">z </w:t>
      </w:r>
      <w:r w:rsidR="00726A7C">
        <w:t>28</w:t>
      </w:r>
      <w:r>
        <w:t>. schůze</w:t>
      </w:r>
    </w:p>
    <w:p w:rsidR="00DC29E4" w:rsidRDefault="00DC29E4" w:rsidP="00377253">
      <w:pPr>
        <w:pStyle w:val="PS-hlavika1"/>
      </w:pPr>
      <w:r>
        <w:t xml:space="preserve">ze dne </w:t>
      </w:r>
      <w:r w:rsidR="00726A7C">
        <w:t>16</w:t>
      </w:r>
      <w:r>
        <w:t xml:space="preserve">. </w:t>
      </w:r>
      <w:r w:rsidR="00726A7C">
        <w:t>dubna</w:t>
      </w:r>
    </w:p>
    <w:p w:rsidR="00A66149" w:rsidRDefault="00A66149" w:rsidP="00A66149">
      <w:pPr>
        <w:pStyle w:val="PS-overov"/>
      </w:pPr>
    </w:p>
    <w:p w:rsidR="00F42A77" w:rsidRPr="00F42A77" w:rsidRDefault="00F42A77" w:rsidP="00F42A77">
      <w:pPr>
        <w:pStyle w:val="Nadpis2"/>
        <w:shd w:val="clear" w:color="auto" w:fill="FFFFFF"/>
        <w:spacing w:before="600" w:beforeAutospacing="0" w:after="150" w:afterAutospacing="0" w:line="420" w:lineRule="atLeast"/>
        <w:jc w:val="center"/>
        <w:textAlignment w:val="baseline"/>
        <w:rPr>
          <w:rFonts w:ascii="Georgia" w:hAnsi="Georgia"/>
          <w:color w:val="404040"/>
          <w:sz w:val="28"/>
          <w:szCs w:val="28"/>
        </w:rPr>
      </w:pPr>
      <w:r w:rsidRPr="00F42A77">
        <w:rPr>
          <w:sz w:val="28"/>
          <w:szCs w:val="28"/>
        </w:rPr>
        <w:t xml:space="preserve">k procesu ratifikace </w:t>
      </w:r>
      <w:r w:rsidRPr="00F42A77">
        <w:rPr>
          <w:rFonts w:ascii="Georgia" w:hAnsi="Georgia"/>
          <w:color w:val="404040"/>
          <w:sz w:val="28"/>
          <w:szCs w:val="28"/>
        </w:rPr>
        <w:t xml:space="preserve">Úmluvy Rady Evropy o prevenci </w:t>
      </w:r>
      <w:r w:rsidRPr="00F42A77">
        <w:rPr>
          <w:rFonts w:ascii="Georgia" w:hAnsi="Georgia"/>
          <w:color w:val="404040"/>
          <w:sz w:val="28"/>
          <w:szCs w:val="28"/>
        </w:rPr>
        <w:br/>
        <w:t xml:space="preserve">a potírání násilí </w:t>
      </w:r>
      <w:r w:rsidR="002E5D8D">
        <w:rPr>
          <w:rFonts w:ascii="Georgia" w:hAnsi="Georgia"/>
          <w:color w:val="404040"/>
          <w:sz w:val="28"/>
          <w:szCs w:val="28"/>
        </w:rPr>
        <w:t>na ženách</w:t>
      </w:r>
      <w:r w:rsidRPr="00F42A77">
        <w:rPr>
          <w:rFonts w:ascii="Georgia" w:hAnsi="Georgia"/>
          <w:color w:val="404040"/>
          <w:sz w:val="28"/>
          <w:szCs w:val="28"/>
        </w:rPr>
        <w:t xml:space="preserve"> a domácího násilí</w:t>
      </w:r>
    </w:p>
    <w:p w:rsidR="00F42A77" w:rsidRPr="00F42A77" w:rsidRDefault="00F42A77" w:rsidP="00F42A77">
      <w:pPr>
        <w:pStyle w:val="Nadpis2"/>
        <w:shd w:val="clear" w:color="auto" w:fill="FFFFFF"/>
        <w:spacing w:before="600" w:beforeAutospacing="0" w:after="150" w:afterAutospacing="0" w:line="420" w:lineRule="atLeast"/>
        <w:jc w:val="center"/>
        <w:textAlignment w:val="baseline"/>
        <w:rPr>
          <w:rFonts w:ascii="Georgia" w:hAnsi="Georgia"/>
          <w:color w:val="404040"/>
          <w:sz w:val="28"/>
          <w:szCs w:val="28"/>
        </w:rPr>
      </w:pPr>
      <w:r w:rsidRPr="00F42A77">
        <w:rPr>
          <w:rFonts w:ascii="Georgia" w:hAnsi="Georgia"/>
          <w:color w:val="404040"/>
          <w:sz w:val="28"/>
          <w:szCs w:val="28"/>
        </w:rPr>
        <w:t>(„Istanbulská úmluva“)</w:t>
      </w:r>
    </w:p>
    <w:p w:rsidR="00F42A77" w:rsidRPr="00860643" w:rsidRDefault="00F42A77" w:rsidP="00F42A77">
      <w:pPr>
        <w:pStyle w:val="Nadpis2"/>
        <w:shd w:val="clear" w:color="auto" w:fill="FFFFFF"/>
        <w:spacing w:before="600" w:beforeAutospacing="0" w:after="150" w:afterAutospacing="0" w:line="420" w:lineRule="atLeast"/>
        <w:textAlignment w:val="baseline"/>
        <w:rPr>
          <w:b w:val="0"/>
          <w:color w:val="404040"/>
          <w:sz w:val="24"/>
          <w:szCs w:val="24"/>
        </w:rPr>
      </w:pPr>
      <w:r w:rsidRPr="00860643">
        <w:rPr>
          <w:b w:val="0"/>
          <w:color w:val="404040"/>
          <w:sz w:val="24"/>
          <w:szCs w:val="24"/>
        </w:rPr>
        <w:t>Poslanecká sněmovna Parlamentu České republiky:</w:t>
      </w:r>
    </w:p>
    <w:p w:rsidR="00F42A77" w:rsidRPr="00860643" w:rsidRDefault="00F42A77" w:rsidP="00860643">
      <w:pPr>
        <w:pStyle w:val="Nadpis2"/>
        <w:numPr>
          <w:ilvl w:val="0"/>
          <w:numId w:val="16"/>
        </w:numPr>
        <w:shd w:val="clear" w:color="auto" w:fill="FFFFFF"/>
        <w:spacing w:before="0" w:beforeAutospacing="0" w:after="150" w:afterAutospacing="0" w:line="420" w:lineRule="atLeast"/>
        <w:textAlignment w:val="baseline"/>
        <w:rPr>
          <w:b w:val="0"/>
          <w:color w:val="404040"/>
          <w:sz w:val="24"/>
          <w:szCs w:val="24"/>
        </w:rPr>
      </w:pPr>
      <w:r w:rsidRPr="00860643">
        <w:rPr>
          <w:b w:val="0"/>
          <w:color w:val="404040"/>
          <w:sz w:val="24"/>
          <w:szCs w:val="24"/>
        </w:rPr>
        <w:t>Žádá</w:t>
      </w:r>
    </w:p>
    <w:p w:rsidR="00F42A77" w:rsidRDefault="00F42A77" w:rsidP="003144CE">
      <w:pPr>
        <w:pStyle w:val="Nadpis2"/>
        <w:shd w:val="clear" w:color="auto" w:fill="FFFFFF"/>
        <w:spacing w:before="0" w:beforeAutospacing="0" w:after="150" w:afterAutospacing="0" w:line="420" w:lineRule="atLeast"/>
        <w:ind w:left="720"/>
        <w:jc w:val="both"/>
        <w:textAlignment w:val="baseline"/>
        <w:rPr>
          <w:b w:val="0"/>
          <w:color w:val="222222"/>
          <w:sz w:val="24"/>
          <w:szCs w:val="24"/>
          <w:shd w:val="clear" w:color="auto" w:fill="FFFFFF"/>
        </w:rPr>
      </w:pPr>
      <w:r w:rsidRPr="00860643">
        <w:rPr>
          <w:b w:val="0"/>
          <w:color w:val="404040"/>
          <w:sz w:val="24"/>
          <w:szCs w:val="24"/>
        </w:rPr>
        <w:t xml:space="preserve">vládu České republiky, aby nepokračovala v procesu směřujícím k ratifikaci Úmluvy Rady Evropy o prevenci a potírání násilí </w:t>
      </w:r>
      <w:r w:rsidR="003144CE">
        <w:rPr>
          <w:b w:val="0"/>
          <w:color w:val="404040"/>
          <w:sz w:val="24"/>
          <w:szCs w:val="24"/>
        </w:rPr>
        <w:t xml:space="preserve">na ženách </w:t>
      </w:r>
      <w:r w:rsidRPr="00860643">
        <w:rPr>
          <w:b w:val="0"/>
          <w:color w:val="404040"/>
          <w:sz w:val="24"/>
          <w:szCs w:val="24"/>
        </w:rPr>
        <w:t>a domácího násilí Českou republikou</w:t>
      </w:r>
      <w:r w:rsidRPr="00860643">
        <w:rPr>
          <w:b w:val="0"/>
          <w:color w:val="222222"/>
          <w:sz w:val="24"/>
          <w:szCs w:val="24"/>
          <w:shd w:val="clear" w:color="auto" w:fill="FFFFFF"/>
        </w:rPr>
        <w:t>;</w:t>
      </w:r>
    </w:p>
    <w:p w:rsidR="003144CE" w:rsidRDefault="003144CE" w:rsidP="003144CE">
      <w:pPr>
        <w:pStyle w:val="Nadpis2"/>
        <w:numPr>
          <w:ilvl w:val="0"/>
          <w:numId w:val="16"/>
        </w:numPr>
        <w:shd w:val="clear" w:color="auto" w:fill="FFFFFF"/>
        <w:spacing w:before="0" w:beforeAutospacing="0" w:after="150" w:afterAutospacing="0" w:line="420" w:lineRule="atLeast"/>
        <w:textAlignment w:val="baseline"/>
        <w:rPr>
          <w:b w:val="0"/>
          <w:color w:val="222222"/>
          <w:sz w:val="24"/>
          <w:szCs w:val="24"/>
          <w:shd w:val="clear" w:color="auto" w:fill="FFFFFF"/>
        </w:rPr>
      </w:pPr>
      <w:r>
        <w:rPr>
          <w:b w:val="0"/>
          <w:color w:val="222222"/>
          <w:sz w:val="24"/>
          <w:szCs w:val="24"/>
          <w:shd w:val="clear" w:color="auto" w:fill="FFFFFF"/>
        </w:rPr>
        <w:t>Vyzývá</w:t>
      </w:r>
    </w:p>
    <w:p w:rsidR="009F1850" w:rsidRPr="003144CE" w:rsidRDefault="003144CE" w:rsidP="003144CE">
      <w:pPr>
        <w:pStyle w:val="Nadpis2"/>
        <w:shd w:val="clear" w:color="auto" w:fill="FFFFFF"/>
        <w:spacing w:before="0" w:beforeAutospacing="0" w:after="150" w:afterAutospacing="0" w:line="420" w:lineRule="atLeast"/>
        <w:ind w:left="720"/>
        <w:jc w:val="both"/>
        <w:textAlignment w:val="baseline"/>
        <w:rPr>
          <w:b w:val="0"/>
          <w:color w:val="222222"/>
          <w:sz w:val="24"/>
          <w:szCs w:val="24"/>
          <w:shd w:val="clear" w:color="auto" w:fill="FFFFFF"/>
        </w:rPr>
      </w:pPr>
      <w:r w:rsidRPr="00860643">
        <w:rPr>
          <w:b w:val="0"/>
          <w:color w:val="404040"/>
          <w:sz w:val="24"/>
          <w:szCs w:val="24"/>
        </w:rPr>
        <w:t>vládu České republiky,</w:t>
      </w:r>
      <w:r>
        <w:rPr>
          <w:b w:val="0"/>
          <w:color w:val="404040"/>
          <w:sz w:val="24"/>
          <w:szCs w:val="24"/>
        </w:rPr>
        <w:t xml:space="preserve"> aby vykonala všechny úkony (včetně zpětvzetí podpisu) související s oznámením Radě Evropy, že Česká republika se nehodlá stát smluvní stranou </w:t>
      </w:r>
      <w:r w:rsidRPr="00860643">
        <w:rPr>
          <w:b w:val="0"/>
          <w:color w:val="404040"/>
          <w:sz w:val="24"/>
          <w:szCs w:val="24"/>
        </w:rPr>
        <w:t xml:space="preserve">Úmluvy Rady Evropy o prevenci a potírání násilí </w:t>
      </w:r>
      <w:r>
        <w:rPr>
          <w:b w:val="0"/>
          <w:color w:val="404040"/>
          <w:sz w:val="24"/>
          <w:szCs w:val="24"/>
        </w:rPr>
        <w:t xml:space="preserve">na ženách </w:t>
      </w:r>
      <w:r w:rsidRPr="00860643">
        <w:rPr>
          <w:b w:val="0"/>
          <w:color w:val="404040"/>
          <w:sz w:val="24"/>
          <w:szCs w:val="24"/>
        </w:rPr>
        <w:t>a domácího násilí Českou republikou</w:t>
      </w:r>
      <w:r w:rsidRPr="00860643">
        <w:rPr>
          <w:b w:val="0"/>
          <w:color w:val="222222"/>
          <w:sz w:val="24"/>
          <w:szCs w:val="24"/>
          <w:shd w:val="clear" w:color="auto" w:fill="FFFFFF"/>
        </w:rPr>
        <w:t>;</w:t>
      </w:r>
    </w:p>
    <w:p w:rsidR="00F42A77" w:rsidRPr="00860643" w:rsidRDefault="00F42A77" w:rsidP="00860643">
      <w:pPr>
        <w:pStyle w:val="Nadpis2"/>
        <w:numPr>
          <w:ilvl w:val="0"/>
          <w:numId w:val="16"/>
        </w:numPr>
        <w:shd w:val="clear" w:color="auto" w:fill="FFFFFF"/>
        <w:spacing w:before="0" w:beforeAutospacing="0" w:after="150" w:afterAutospacing="0" w:line="420" w:lineRule="atLeast"/>
        <w:textAlignment w:val="baseline"/>
        <w:rPr>
          <w:b w:val="0"/>
          <w:color w:val="222222"/>
          <w:sz w:val="24"/>
          <w:szCs w:val="24"/>
          <w:shd w:val="clear" w:color="auto" w:fill="FFFFFF"/>
        </w:rPr>
      </w:pPr>
      <w:r w:rsidRPr="00860643">
        <w:rPr>
          <w:b w:val="0"/>
          <w:color w:val="222222"/>
          <w:sz w:val="24"/>
          <w:szCs w:val="24"/>
          <w:shd w:val="clear" w:color="auto" w:fill="FFFFFF"/>
        </w:rPr>
        <w:t>Pověřuje</w:t>
      </w:r>
    </w:p>
    <w:p w:rsidR="00F42A77" w:rsidRPr="00860643" w:rsidRDefault="00F42A77" w:rsidP="003144CE">
      <w:pPr>
        <w:pStyle w:val="Nadpis2"/>
        <w:shd w:val="clear" w:color="auto" w:fill="FFFFFF"/>
        <w:spacing w:before="0" w:beforeAutospacing="0" w:after="150" w:afterAutospacing="0" w:line="420" w:lineRule="atLeast"/>
        <w:ind w:left="720"/>
        <w:jc w:val="both"/>
        <w:textAlignment w:val="baseline"/>
        <w:rPr>
          <w:b w:val="0"/>
          <w:color w:val="222222"/>
          <w:sz w:val="24"/>
          <w:szCs w:val="24"/>
          <w:shd w:val="clear" w:color="auto" w:fill="FFFFFF"/>
        </w:rPr>
      </w:pPr>
      <w:r w:rsidRPr="00860643">
        <w:rPr>
          <w:b w:val="0"/>
          <w:color w:val="222222"/>
          <w:sz w:val="24"/>
          <w:szCs w:val="24"/>
          <w:shd w:val="clear" w:color="auto" w:fill="FFFFFF"/>
        </w:rPr>
        <w:t>předsedu Poslanecké sněmovny Parlamentu České republiky, aby o tomto Usnesení informoval vládu České republiky</w:t>
      </w:r>
      <w:r w:rsidR="00B954F7">
        <w:rPr>
          <w:b w:val="0"/>
          <w:color w:val="222222"/>
          <w:sz w:val="24"/>
          <w:szCs w:val="24"/>
          <w:shd w:val="clear" w:color="auto" w:fill="FFFFFF"/>
        </w:rPr>
        <w:t>.</w:t>
      </w:r>
    </w:p>
    <w:p w:rsidR="00860643" w:rsidRDefault="009F1850" w:rsidP="003D5B12">
      <w:pPr>
        <w:pStyle w:val="Nadpis2"/>
        <w:shd w:val="clear" w:color="auto" w:fill="FFFFFF"/>
        <w:tabs>
          <w:tab w:val="left" w:pos="1824"/>
        </w:tabs>
        <w:spacing w:before="600" w:beforeAutospacing="0" w:after="150" w:afterAutospacing="0" w:line="360" w:lineRule="auto"/>
        <w:textAlignment w:val="baseline"/>
        <w:rPr>
          <w:rFonts w:asciiTheme="minorHAnsi" w:hAnsiTheme="minorHAnsi" w:cstheme="minorHAnsi"/>
          <w:b w:val="0"/>
          <w:color w:val="404040"/>
          <w:sz w:val="24"/>
          <w:szCs w:val="24"/>
        </w:rPr>
      </w:pPr>
      <w:r w:rsidRPr="005F0073">
        <w:rPr>
          <w:rFonts w:asciiTheme="minorHAnsi" w:hAnsiTheme="minorHAnsi" w:cstheme="minorHAnsi"/>
          <w:b w:val="0"/>
          <w:color w:val="404040"/>
          <w:sz w:val="24"/>
          <w:szCs w:val="24"/>
        </w:rPr>
        <w:t xml:space="preserve">                                   </w:t>
      </w:r>
    </w:p>
    <w:p w:rsidR="003D5B12" w:rsidRDefault="009F1850" w:rsidP="00860643">
      <w:pPr>
        <w:pStyle w:val="Nadpis2"/>
        <w:shd w:val="clear" w:color="auto" w:fill="FFFFFF"/>
        <w:tabs>
          <w:tab w:val="left" w:pos="1824"/>
        </w:tabs>
        <w:spacing w:before="600" w:beforeAutospacing="0" w:after="150" w:afterAutospacing="0" w:line="360" w:lineRule="auto"/>
        <w:jc w:val="center"/>
        <w:textAlignment w:val="baseline"/>
        <w:rPr>
          <w:rFonts w:asciiTheme="minorHAnsi" w:hAnsiTheme="minorHAnsi" w:cstheme="minorHAnsi"/>
          <w:color w:val="404040"/>
          <w:sz w:val="28"/>
          <w:szCs w:val="28"/>
        </w:rPr>
      </w:pPr>
      <w:r w:rsidRPr="005F0073">
        <w:rPr>
          <w:rFonts w:asciiTheme="minorHAnsi" w:hAnsiTheme="minorHAnsi" w:cstheme="minorHAnsi"/>
          <w:color w:val="404040"/>
          <w:sz w:val="28"/>
          <w:szCs w:val="28"/>
        </w:rPr>
        <w:lastRenderedPageBreak/>
        <w:t>Odůvodnění</w:t>
      </w:r>
    </w:p>
    <w:p w:rsidR="009F1850" w:rsidRPr="005F0073" w:rsidRDefault="002E5D8D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Úmluvu</w:t>
      </w:r>
      <w:r w:rsidR="009F1850" w:rsidRPr="005F0073">
        <w:rPr>
          <w:b w:val="0"/>
          <w:color w:val="404040"/>
          <w:sz w:val="24"/>
          <w:szCs w:val="24"/>
        </w:rPr>
        <w:t xml:space="preserve"> Rady Evropy o prevenci a potírání násilí </w:t>
      </w:r>
      <w:r w:rsidRPr="005F0073">
        <w:rPr>
          <w:b w:val="0"/>
          <w:color w:val="404040"/>
          <w:sz w:val="24"/>
          <w:szCs w:val="24"/>
        </w:rPr>
        <w:t>na ženách</w:t>
      </w:r>
      <w:r w:rsidR="009F1850" w:rsidRPr="005F0073">
        <w:rPr>
          <w:b w:val="0"/>
          <w:color w:val="404040"/>
          <w:sz w:val="24"/>
          <w:szCs w:val="24"/>
        </w:rPr>
        <w:t xml:space="preserve"> a domácího násilí </w:t>
      </w:r>
      <w:r w:rsidRPr="005F0073">
        <w:rPr>
          <w:b w:val="0"/>
          <w:color w:val="404040"/>
          <w:sz w:val="24"/>
          <w:szCs w:val="24"/>
        </w:rPr>
        <w:t>podepsala Česká republika v květnu roku 2016.</w:t>
      </w:r>
    </w:p>
    <w:p w:rsidR="00094232" w:rsidRPr="005F0073" w:rsidRDefault="002E5D8D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Uvedený dokument se ov</w:t>
      </w:r>
      <w:r w:rsidR="00B954F7">
        <w:rPr>
          <w:b w:val="0"/>
          <w:color w:val="404040"/>
          <w:sz w:val="24"/>
          <w:szCs w:val="24"/>
        </w:rPr>
        <w:t>š</w:t>
      </w:r>
      <w:r w:rsidRPr="005F0073">
        <w:rPr>
          <w:b w:val="0"/>
          <w:color w:val="404040"/>
          <w:sz w:val="24"/>
          <w:szCs w:val="24"/>
        </w:rPr>
        <w:t>em nezabývá pouze předcházením nási</w:t>
      </w:r>
      <w:r w:rsidR="00094232" w:rsidRPr="005F0073">
        <w:rPr>
          <w:b w:val="0"/>
          <w:color w:val="404040"/>
          <w:sz w:val="24"/>
          <w:szCs w:val="24"/>
        </w:rPr>
        <w:t xml:space="preserve">lí na ženách či domácímu násilí, ale </w:t>
      </w:r>
      <w:r w:rsidR="005F0073" w:rsidRPr="005F0073">
        <w:rPr>
          <w:b w:val="0"/>
          <w:color w:val="404040"/>
          <w:sz w:val="24"/>
          <w:szCs w:val="24"/>
        </w:rPr>
        <w:t>zasahuje</w:t>
      </w:r>
      <w:r w:rsidR="00094232" w:rsidRPr="005F0073">
        <w:rPr>
          <w:b w:val="0"/>
          <w:color w:val="404040"/>
          <w:sz w:val="24"/>
          <w:szCs w:val="24"/>
        </w:rPr>
        <w:t xml:space="preserve"> nebezpečným</w:t>
      </w:r>
      <w:r w:rsidR="00B954F7">
        <w:rPr>
          <w:b w:val="0"/>
          <w:color w:val="404040"/>
          <w:sz w:val="24"/>
          <w:szCs w:val="24"/>
        </w:rPr>
        <w:t xml:space="preserve"> způsobem i do jiných oblastí, </w:t>
      </w:r>
      <w:r w:rsidR="00094232" w:rsidRPr="005F0073">
        <w:rPr>
          <w:b w:val="0"/>
          <w:color w:val="404040"/>
          <w:sz w:val="24"/>
          <w:szCs w:val="24"/>
        </w:rPr>
        <w:t>kdy má dokonce ambice vstupovat do staletími</w:t>
      </w:r>
      <w:r w:rsidR="00427CFA">
        <w:rPr>
          <w:b w:val="0"/>
          <w:color w:val="404040"/>
          <w:sz w:val="24"/>
          <w:szCs w:val="24"/>
        </w:rPr>
        <w:t xml:space="preserve"> daných biologických kategorií, </w:t>
      </w:r>
      <w:r w:rsidR="00094232" w:rsidRPr="005F0073">
        <w:rPr>
          <w:b w:val="0"/>
          <w:color w:val="404040"/>
          <w:sz w:val="24"/>
          <w:szCs w:val="24"/>
        </w:rPr>
        <w:t>s </w:t>
      </w:r>
      <w:r w:rsidR="005F0073">
        <w:rPr>
          <w:b w:val="0"/>
          <w:color w:val="404040"/>
          <w:sz w:val="24"/>
          <w:szCs w:val="24"/>
        </w:rPr>
        <w:t>cílem</w:t>
      </w:r>
      <w:r w:rsidR="00094232" w:rsidRPr="005F0073">
        <w:rPr>
          <w:b w:val="0"/>
          <w:color w:val="404040"/>
          <w:sz w:val="24"/>
          <w:szCs w:val="24"/>
        </w:rPr>
        <w:t xml:space="preserve"> je nově vykládat a měnit</w:t>
      </w:r>
      <w:r w:rsidR="005F0073">
        <w:rPr>
          <w:b w:val="0"/>
          <w:color w:val="404040"/>
          <w:sz w:val="24"/>
          <w:szCs w:val="24"/>
        </w:rPr>
        <w:t>,</w:t>
      </w:r>
      <w:r w:rsidR="00094232" w:rsidRPr="005F0073">
        <w:rPr>
          <w:b w:val="0"/>
          <w:color w:val="404040"/>
          <w:sz w:val="24"/>
          <w:szCs w:val="24"/>
        </w:rPr>
        <w:t xml:space="preserve"> a tím </w:t>
      </w:r>
      <w:r w:rsidR="00173034">
        <w:rPr>
          <w:b w:val="0"/>
          <w:color w:val="404040"/>
          <w:sz w:val="24"/>
          <w:szCs w:val="24"/>
        </w:rPr>
        <w:br/>
      </w:r>
      <w:r w:rsidR="00094232" w:rsidRPr="005F0073">
        <w:rPr>
          <w:b w:val="0"/>
          <w:color w:val="404040"/>
          <w:sz w:val="24"/>
          <w:szCs w:val="24"/>
        </w:rPr>
        <w:t xml:space="preserve">i nově </w:t>
      </w:r>
      <w:r w:rsidR="00B954F7">
        <w:rPr>
          <w:b w:val="0"/>
          <w:color w:val="404040"/>
          <w:sz w:val="24"/>
          <w:szCs w:val="24"/>
        </w:rPr>
        <w:t xml:space="preserve">konstruovat společenské vztahy </w:t>
      </w:r>
      <w:r w:rsidR="00173034">
        <w:rPr>
          <w:b w:val="0"/>
          <w:color w:val="404040"/>
          <w:sz w:val="24"/>
          <w:szCs w:val="24"/>
        </w:rPr>
        <w:t>a společenskou realitu a ohrožovat tak zejména roli, podobu a funkci rodiny, jakožto naprosto klíčové a zásadní jednotky společnosti a státu.</w:t>
      </w:r>
    </w:p>
    <w:p w:rsidR="002E5D8D" w:rsidRPr="005F0073" w:rsidRDefault="00B954F7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>
        <w:rPr>
          <w:b w:val="0"/>
          <w:color w:val="404040"/>
          <w:sz w:val="24"/>
          <w:szCs w:val="24"/>
        </w:rPr>
        <w:t xml:space="preserve">Jako </w:t>
      </w:r>
      <w:r w:rsidR="00427CFA">
        <w:rPr>
          <w:b w:val="0"/>
          <w:color w:val="404040"/>
          <w:sz w:val="24"/>
          <w:szCs w:val="24"/>
        </w:rPr>
        <w:t xml:space="preserve"> například</w:t>
      </w:r>
      <w:r>
        <w:rPr>
          <w:b w:val="0"/>
          <w:color w:val="404040"/>
          <w:sz w:val="24"/>
          <w:szCs w:val="24"/>
        </w:rPr>
        <w:t xml:space="preserve"> </w:t>
      </w:r>
      <w:r w:rsidR="00094232" w:rsidRPr="005F0073">
        <w:rPr>
          <w:b w:val="0"/>
          <w:color w:val="404040"/>
          <w:sz w:val="24"/>
          <w:szCs w:val="24"/>
        </w:rPr>
        <w:t xml:space="preserve">článek 3, písm. c) Úmluvy:  </w:t>
      </w:r>
    </w:p>
    <w:p w:rsidR="00094232" w:rsidRPr="005F0073" w:rsidRDefault="00094232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„Pro účely této Úmluvy:</w:t>
      </w:r>
    </w:p>
    <w:p w:rsidR="00094232" w:rsidRPr="005F0073" w:rsidRDefault="00094232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…</w:t>
      </w:r>
      <w:r w:rsidRPr="005F0073">
        <w:rPr>
          <w:b w:val="0"/>
          <w:sz w:val="24"/>
          <w:szCs w:val="24"/>
        </w:rPr>
        <w:t xml:space="preserve">„gender” /rod/ znamená sociálně ustanovené role, chování, jednání </w:t>
      </w:r>
      <w:r w:rsidRPr="005F0073">
        <w:rPr>
          <w:b w:val="0"/>
          <w:sz w:val="24"/>
          <w:szCs w:val="24"/>
        </w:rPr>
        <w:br/>
        <w:t>a vlastnosti, které příslušná společnost pokládá za odpovídající pro ženy a muže;</w:t>
      </w:r>
      <w:r w:rsidR="005F0073">
        <w:rPr>
          <w:b w:val="0"/>
          <w:sz w:val="24"/>
          <w:szCs w:val="24"/>
        </w:rPr>
        <w:t>“</w:t>
      </w:r>
    </w:p>
    <w:p w:rsidR="009F1850" w:rsidRPr="005F0073" w:rsidRDefault="00094232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Anebo článek 12, odst.</w:t>
      </w:r>
      <w:r w:rsidR="003642A5" w:rsidRPr="005F0073">
        <w:rPr>
          <w:b w:val="0"/>
          <w:color w:val="404040"/>
          <w:sz w:val="24"/>
          <w:szCs w:val="24"/>
        </w:rPr>
        <w:t xml:space="preserve"> </w:t>
      </w:r>
      <w:r w:rsidRPr="005F0073">
        <w:rPr>
          <w:b w:val="0"/>
          <w:color w:val="404040"/>
          <w:sz w:val="24"/>
          <w:szCs w:val="24"/>
        </w:rPr>
        <w:t>1:</w:t>
      </w:r>
    </w:p>
    <w:p w:rsidR="005F0073" w:rsidRDefault="00094232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>„</w:t>
      </w:r>
      <w:r w:rsidR="006B15C3" w:rsidRPr="005F0073">
        <w:rPr>
          <w:b w:val="0"/>
          <w:sz w:val="24"/>
          <w:szCs w:val="24"/>
        </w:rPr>
        <w:t xml:space="preserve">Smluvní strany přijmou nezbytná opatření k prosazování změn sociálních </w:t>
      </w:r>
      <w:r w:rsidR="006B15C3" w:rsidRPr="005F0073">
        <w:rPr>
          <w:b w:val="0"/>
          <w:sz w:val="24"/>
          <w:szCs w:val="24"/>
        </w:rPr>
        <w:br/>
        <w:t xml:space="preserve">a kulturních vzorců chování žen a mužů za účelem vymýcení předsudků, obyčejů, tradic </w:t>
      </w:r>
      <w:r w:rsidR="005F0073">
        <w:rPr>
          <w:b w:val="0"/>
          <w:sz w:val="24"/>
          <w:szCs w:val="24"/>
        </w:rPr>
        <w:br/>
      </w:r>
      <w:r w:rsidR="006B15C3" w:rsidRPr="005F0073">
        <w:rPr>
          <w:b w:val="0"/>
          <w:sz w:val="24"/>
          <w:szCs w:val="24"/>
        </w:rPr>
        <w:t>a veškerých dalších zvyklostí, které jsou založené na myšlence méněcennosti žen nebo stereotypním pojímání rolí žen a mužů.“</w:t>
      </w:r>
    </w:p>
    <w:p w:rsidR="005F0073" w:rsidRDefault="005F0073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>
        <w:rPr>
          <w:b w:val="0"/>
          <w:color w:val="404040"/>
          <w:sz w:val="24"/>
          <w:szCs w:val="24"/>
        </w:rPr>
        <w:t>Ovšem</w:t>
      </w:r>
      <w:r w:rsidR="006B15C3" w:rsidRPr="005F0073">
        <w:rPr>
          <w:b w:val="0"/>
          <w:color w:val="404040"/>
          <w:sz w:val="24"/>
          <w:szCs w:val="24"/>
        </w:rPr>
        <w:t xml:space="preserve"> stěžejní argumenty proti ratifikaci tzv. Istanbulské úmluvy jsou právního charakteru (ostatně, upozorňují na ně mnohé právní autority, v čele s českou Advokátní komorou):</w:t>
      </w:r>
    </w:p>
    <w:p w:rsidR="00427CFA" w:rsidRDefault="006B15C3" w:rsidP="00427CFA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404040"/>
          <w:sz w:val="24"/>
          <w:szCs w:val="24"/>
        </w:rPr>
        <w:t xml:space="preserve">Např. </w:t>
      </w:r>
      <w:r w:rsidR="003642A5" w:rsidRPr="005F0073">
        <w:rPr>
          <w:b w:val="0"/>
          <w:color w:val="333333"/>
          <w:sz w:val="24"/>
          <w:szCs w:val="24"/>
          <w:shd w:val="clear" w:color="auto" w:fill="FFFFFF"/>
        </w:rPr>
        <w:t>č</w:t>
      </w:r>
      <w:r w:rsidRPr="005F0073">
        <w:rPr>
          <w:b w:val="0"/>
          <w:color w:val="333333"/>
          <w:sz w:val="24"/>
          <w:szCs w:val="24"/>
          <w:shd w:val="clear" w:color="auto" w:fill="FFFFFF"/>
        </w:rPr>
        <w:t>lánek 28 Úmluvy ukládá státům, aby učinily opatření, která by nebránila pracovníkům jistých profesí ohlásit spáchání násilného činu či obavu, že takový čin bude v budoucnu spách</w:t>
      </w:r>
      <w:r w:rsidR="003642A5" w:rsidRPr="005F0073">
        <w:rPr>
          <w:b w:val="0"/>
          <w:color w:val="333333"/>
          <w:sz w:val="24"/>
          <w:szCs w:val="24"/>
          <w:shd w:val="clear" w:color="auto" w:fill="FFFFFF"/>
        </w:rPr>
        <w:t>án. Což explicitně znamená zásadní riziko prolomení zákonně a ústavně zakotveného práva (i povinnosti) profesní advokátní mlčenlivosti.</w:t>
      </w:r>
    </w:p>
    <w:p w:rsidR="005F0073" w:rsidRPr="00427CFA" w:rsidRDefault="003642A5" w:rsidP="00427CFA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5F0073">
        <w:rPr>
          <w:b w:val="0"/>
          <w:color w:val="000000"/>
          <w:sz w:val="24"/>
          <w:szCs w:val="24"/>
          <w:shd w:val="clear" w:color="auto" w:fill="FFFFFF"/>
        </w:rPr>
        <w:t>Pokud by ČR Úmluvu ratifikovala,  bude muset změnit legislativu i v řadě oblastí stávající praxe – a kromě toho i celkový přístup k rodině, k pachatelům, ke vzdělávání ve školách apod.</w:t>
      </w:r>
    </w:p>
    <w:p w:rsid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color w:val="000000"/>
          <w:sz w:val="24"/>
          <w:szCs w:val="24"/>
          <w:shd w:val="clear" w:color="auto" w:fill="FFFFFF"/>
        </w:rPr>
        <w:t>Zde jsou některé příklady těchto rizik: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„Strany učiní nezbytná legislativní i jiná opatření ...“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(čl. 4 odst. 1)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lastRenderedPageBreak/>
        <w:t>„Strany podniknou zákonodárná i jiná opatření nezbytná pro splnění povinnosti zajistit …“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F0073">
        <w:rPr>
          <w:b w:val="0"/>
          <w:color w:val="000000"/>
          <w:sz w:val="24"/>
          <w:szCs w:val="24"/>
          <w:shd w:val="clear" w:color="auto" w:fill="FFFFFF"/>
        </w:rPr>
        <w:br/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(čl. 5 odst. 2) 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240" w:beforeAutospacing="0" w:after="15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„Strany se zaváží, že při implementaci a vyhodnocování dopadu ustanovení této úmluvy budou zohledňovat genderové hledisko …“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 (čl. 6) 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„Strany učiní nezbytná legislativní i jiná opatření pro přijetí a prosazování celostátní efektivní, komplexní a koordinované politiky zahrnující veškerá relevantní opatření směřující k prevenci ...“ 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(čl. 7 odst. 1)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„Opatření přijatá v intencích tohoto článku budou zahrnovat všechny relevantní aktéry, například vládní agentury, národní, regionální či místní zastupitelské sbory a úřady, národní instituce pro lidská práva a organizace občanské společnosti…“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 (čl. 7 odst. 3)</w:t>
      </w:r>
    </w:p>
    <w:p w:rsidR="003642A5" w:rsidRPr="005F0073" w:rsidRDefault="003642A5" w:rsidP="005F0073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i/>
          <w:iCs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„Strany učiní vše nezbytné pro podporu zásad v neformálních vzdělávacích zařízeních a také v zaříz</w:t>
      </w:r>
      <w:r w:rsidR="00427CFA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eních sportovních, kulturních, </w:t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volnočasových a v médiích…“</w:t>
      </w:r>
      <w:r w:rsid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(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čl. 14 odst. 2)</w:t>
      </w:r>
    </w:p>
    <w:p w:rsidR="003642A5" w:rsidRDefault="003642A5" w:rsidP="005F0073">
      <w:pPr>
        <w:pStyle w:val="Nadpis2"/>
        <w:shd w:val="clear" w:color="auto" w:fill="FFFFFF"/>
        <w:tabs>
          <w:tab w:val="left" w:pos="1824"/>
        </w:tabs>
        <w:spacing w:before="600" w:beforeAutospacing="0" w:after="150" w:afterAutospacing="0" w:line="360" w:lineRule="auto"/>
        <w:jc w:val="both"/>
        <w:textAlignment w:val="baseline"/>
        <w:rPr>
          <w:b w:val="0"/>
          <w:i/>
          <w:iCs/>
          <w:color w:val="000000"/>
          <w:sz w:val="24"/>
          <w:szCs w:val="24"/>
          <w:shd w:val="clear" w:color="auto" w:fill="FFFFFF"/>
        </w:rPr>
      </w:pPr>
      <w:r w:rsidRPr="005F0073">
        <w:rPr>
          <w:b w:val="0"/>
          <w:color w:val="000000"/>
          <w:sz w:val="24"/>
          <w:szCs w:val="24"/>
          <w:shd w:val="clear" w:color="auto" w:fill="FFFFFF"/>
        </w:rPr>
        <w:t>Vše nasvědčuje i tomu, že realizace opatření dle</w:t>
      </w:r>
      <w:r w:rsidR="00427CFA">
        <w:rPr>
          <w:b w:val="0"/>
          <w:color w:val="000000"/>
          <w:sz w:val="24"/>
          <w:szCs w:val="24"/>
          <w:shd w:val="clear" w:color="auto" w:fill="FFFFFF"/>
        </w:rPr>
        <w:t xml:space="preserve"> této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 xml:space="preserve"> Úmluvy by byla pro veřejné rozpočty nesmírně  finančně náročná</w:t>
      </w:r>
      <w:r w:rsidR="005F0073">
        <w:rPr>
          <w:b w:val="0"/>
          <w:color w:val="000000"/>
          <w:sz w:val="24"/>
          <w:szCs w:val="24"/>
          <w:shd w:val="clear" w:color="auto" w:fill="FFFFFF"/>
        </w:rPr>
        <w:t xml:space="preserve"> - 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 xml:space="preserve"> (viz čl. 8: </w:t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„Strany vydělí přiměřené finanční a lidské zdroje pro náležité uplatňování integrované politiky, opatření a programů zaměřených na prevenci a potírání veškerých aktů násilí spadajících do působnosti této úmluvy, a to i těch, jež zajišťují nevládní organizace a občanská společnost.“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 Nebo čl. 13 odst. 1: </w:t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„Strany se zavazují podporovat </w:t>
      </w:r>
      <w:r w:rsid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br/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a pravidelně organizovat osvětové kampaně a programy…“)</w:t>
      </w:r>
      <w:r w:rsidRPr="005F0073">
        <w:rPr>
          <w:b w:val="0"/>
          <w:color w:val="000000"/>
          <w:sz w:val="24"/>
          <w:szCs w:val="24"/>
          <w:shd w:val="clear" w:color="auto" w:fill="FFFFFF"/>
        </w:rPr>
        <w:t>, mj. proto, že bude třeba zřídit nové orgány a instituce (čl. 10 odst. 1: </w:t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„Strany … vytvoří jeden či více oficiálních orgánů,</w:t>
      </w:r>
      <w:r w:rsid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br/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 xml:space="preserve"> jež budou zodpovědné za koordinaci, implementaci, monitoring a vyhodnocení strategie </w:t>
      </w:r>
      <w:r w:rsid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br/>
      </w:r>
      <w:r w:rsidRPr="005F0073">
        <w:rPr>
          <w:b w:val="0"/>
          <w:i/>
          <w:iCs/>
          <w:color w:val="000000"/>
          <w:sz w:val="24"/>
          <w:szCs w:val="24"/>
          <w:shd w:val="clear" w:color="auto" w:fill="FFFFFF"/>
        </w:rPr>
        <w:t>a opatření …“).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  <w:shd w:val="clear" w:color="auto" w:fill="FFFFFF"/>
        </w:rPr>
        <w:t xml:space="preserve">Velmi diskutabilní </w:t>
      </w:r>
      <w:r w:rsidRPr="003D5B12">
        <w:rPr>
          <w:color w:val="000000"/>
        </w:rPr>
        <w:t>jsou i některé další články Úmluvy: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t>Čl. 35 hrozí kriminalizací všech forem fyzického násilí, kterým rodič trestá dítě.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t>Čl. 36 hrozí přenesením důkazního břemene u sexuálního trestného činu ze státu na obviněného, který bude muset prokazovat výslovný souhlas poskytnutý poškozeným/poškozenou</w:t>
      </w:r>
      <w:r w:rsidR="00427CFA">
        <w:rPr>
          <w:color w:val="000000"/>
        </w:rPr>
        <w:t>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bCs/>
          <w:color w:val="000000"/>
        </w:rPr>
      </w:pPr>
      <w:r w:rsidRPr="003D5B12">
        <w:rPr>
          <w:color w:val="000000"/>
        </w:rPr>
        <w:t>Čl. 40 hrozí novým trestným činem verbálního sexuálního obtěžování</w:t>
      </w:r>
      <w:r w:rsidR="00427CFA">
        <w:rPr>
          <w:color w:val="000000"/>
        </w:rPr>
        <w:t>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t>Čl. 46 hrozí zavedením nové přitěžující okolnosti, je-li poškozeným bývalý manžel pachatele</w:t>
      </w:r>
      <w:r w:rsidR="00427CFA">
        <w:rPr>
          <w:color w:val="000000"/>
        </w:rPr>
        <w:t>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lastRenderedPageBreak/>
        <w:t xml:space="preserve">Čl. 48 hrozí vyloučením mediace a alternativního řešení sporu u trestného činu spojeného </w:t>
      </w:r>
      <w:r w:rsidR="00427CFA">
        <w:rPr>
          <w:color w:val="000000"/>
        </w:rPr>
        <w:br/>
      </w:r>
      <w:r w:rsidRPr="003D5B12">
        <w:rPr>
          <w:color w:val="000000"/>
        </w:rPr>
        <w:t>s násilím, což je v přímém rozporu s trendem rozšíření oblastí dohody o vině a trestu</w:t>
      </w:r>
      <w:r w:rsidR="00427CFA">
        <w:rPr>
          <w:color w:val="000000"/>
        </w:rPr>
        <w:t>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t>Čl. 54 hrozí zavedením nové kategorie důkazů relevantních a nezbytných, přičemž uplatnění jiných důkazů má být v řízení o sexuálním či domácím násilí omezeno</w:t>
      </w:r>
      <w:r w:rsidR="00427CFA">
        <w:rPr>
          <w:color w:val="000000"/>
        </w:rPr>
        <w:t>.</w:t>
      </w:r>
    </w:p>
    <w:p w:rsidR="005F0073" w:rsidRPr="003D5B12" w:rsidRDefault="005F0073" w:rsidP="003D5B12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 w:rsidRPr="003D5B12">
        <w:rPr>
          <w:color w:val="000000"/>
        </w:rPr>
        <w:t>Čl. 58 hrozí prodloužením promlčecích lhůt a možností stíhat v těchto typech řízení osoby nezletilé a mladistvé i po dosažení zletilosti.</w:t>
      </w:r>
    </w:p>
    <w:p w:rsidR="003D5B12" w:rsidRDefault="006B15C3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3D5B12">
        <w:rPr>
          <w:b w:val="0"/>
          <w:color w:val="000000" w:themeColor="text1"/>
          <w:sz w:val="24"/>
          <w:szCs w:val="24"/>
        </w:rPr>
        <w:t>Z hlediska českého práva je nepřijatelné i to</w:t>
      </w:r>
      <w:r w:rsidRPr="003D5B12">
        <w:rPr>
          <w:b w:val="0"/>
          <w:color w:val="000000" w:themeColor="text1"/>
          <w:sz w:val="24"/>
          <w:szCs w:val="24"/>
          <w:shd w:val="clear" w:color="auto" w:fill="FFFFFF"/>
        </w:rPr>
        <w:t>, </w:t>
      </w:r>
      <w:hyperlink r:id="rId7" w:tgtFrame="_blank" w:history="1">
        <w:r w:rsidRPr="003D5B12">
          <w:rPr>
            <w:rStyle w:val="Hypertextovodkaz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že dle článku 66/7 a dodatků </w:t>
        </w:r>
        <w:r w:rsidR="00427CFA">
          <w:rPr>
            <w:rStyle w:val="Hypertextovodkaz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této </w:t>
        </w:r>
        <w:r w:rsidRPr="003D5B12">
          <w:rPr>
            <w:rStyle w:val="Hypertextovodkaz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Úmluvy</w:t>
        </w:r>
      </w:hyperlink>
      <w:r w:rsidRPr="003D5B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 budou mít členové kontrolního a dozorového orgánu GREVIO a další členové delegací konající </w:t>
      </w:r>
      <w:r w:rsidR="003D5B12">
        <w:rPr>
          <w:b w:val="0"/>
          <w:color w:val="000000" w:themeColor="text1"/>
          <w:sz w:val="24"/>
          <w:szCs w:val="24"/>
          <w:shd w:val="clear" w:color="auto" w:fill="FFFFFF"/>
        </w:rPr>
        <w:br/>
        <w:t xml:space="preserve">v </w:t>
      </w:r>
      <w:r w:rsidRPr="003D5B12">
        <w:rPr>
          <w:b w:val="0"/>
          <w:color w:val="000000" w:themeColor="text1"/>
          <w:sz w:val="24"/>
          <w:szCs w:val="24"/>
          <w:shd w:val="clear" w:color="auto" w:fill="FFFFFF"/>
        </w:rPr>
        <w:t>jednotlivých zemích monitoring (dle článku </w:t>
      </w:r>
      <w:hyperlink r:id="rId8" w:tgtFrame="_blank" w:history="1">
        <w:r w:rsidRPr="003D5B12">
          <w:rPr>
            <w:rStyle w:val="Hypertextovodkaz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68/5+9</w:t>
        </w:r>
      </w:hyperlink>
      <w:r w:rsidR="00427CFA">
        <w:rPr>
          <w:b w:val="0"/>
          <w:color w:val="000000" w:themeColor="text1"/>
          <w:sz w:val="24"/>
          <w:szCs w:val="24"/>
          <w:shd w:val="clear" w:color="auto" w:fill="FFFFFF"/>
        </w:rPr>
        <w:t> do tohoto okruhu osob</w:t>
      </w:r>
      <w:r w:rsidRPr="003D5B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mohou být zahrnuti i experti ze spolupracujících neziskových organizací apod.) doživotní imunitu naprosto na vše, včetně odpuštění bezpečnostních kontrol při cestování, tzn., že  jde o rozsah imunity větší než např. u prezidenta České republiky.</w:t>
      </w:r>
    </w:p>
    <w:p w:rsidR="006B15C3" w:rsidRDefault="006B15C3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333333"/>
          <w:sz w:val="24"/>
          <w:szCs w:val="24"/>
          <w:shd w:val="clear" w:color="auto" w:fill="FFFFFF"/>
        </w:rPr>
      </w:pPr>
      <w:r w:rsidRPr="003D5B12">
        <w:rPr>
          <w:b w:val="0"/>
          <w:color w:val="333333"/>
          <w:sz w:val="24"/>
          <w:szCs w:val="24"/>
          <w:shd w:val="clear" w:color="auto" w:fill="FFFFFF"/>
        </w:rPr>
        <w:t>Česká republika má v současné době naprosto dostačující právní úpravu ochrany</w:t>
      </w:r>
      <w:r w:rsidR="00173034">
        <w:rPr>
          <w:b w:val="0"/>
          <w:color w:val="333333"/>
          <w:sz w:val="24"/>
          <w:szCs w:val="24"/>
          <w:shd w:val="clear" w:color="auto" w:fill="FFFFFF"/>
        </w:rPr>
        <w:t xml:space="preserve"> žen (i mužů)</w:t>
      </w:r>
      <w:r w:rsidRPr="003D5B12">
        <w:rPr>
          <w:b w:val="0"/>
          <w:color w:val="333333"/>
          <w:sz w:val="24"/>
          <w:szCs w:val="24"/>
          <w:shd w:val="clear" w:color="auto" w:fill="FFFFFF"/>
        </w:rPr>
        <w:t xml:space="preserve"> před domácím násilím i před násilím jiného druhu. Postačí, když stávající legislativa bude</w:t>
      </w:r>
      <w:r w:rsidR="00427CFA">
        <w:rPr>
          <w:b w:val="0"/>
          <w:color w:val="333333"/>
          <w:sz w:val="24"/>
          <w:szCs w:val="24"/>
          <w:shd w:val="clear" w:color="auto" w:fill="FFFFFF"/>
        </w:rPr>
        <w:t xml:space="preserve"> náležitě využívána a </w:t>
      </w:r>
      <w:r w:rsidRPr="003D5B12">
        <w:rPr>
          <w:b w:val="0"/>
          <w:color w:val="333333"/>
          <w:sz w:val="24"/>
          <w:szCs w:val="24"/>
          <w:shd w:val="clear" w:color="auto" w:fill="FFFFFF"/>
        </w:rPr>
        <w:t xml:space="preserve"> novou právní úpravu nepotřebujeme.</w:t>
      </w:r>
    </w:p>
    <w:p w:rsidR="00173034" w:rsidRDefault="00173034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 xml:space="preserve">Stejně tak považujeme za zcela dostačující a žádoucí, jestliže tato oblast cela náleží do gesce </w:t>
      </w:r>
      <w:r>
        <w:rPr>
          <w:b w:val="0"/>
          <w:color w:val="333333"/>
          <w:sz w:val="24"/>
          <w:szCs w:val="24"/>
          <w:shd w:val="clear" w:color="auto" w:fill="FFFFFF"/>
        </w:rPr>
        <w:br/>
        <w:t>kompetence českých bezpečnostních a justičních orgánů a odmítáme v tom</w:t>
      </w:r>
      <w:r w:rsidR="003630D8">
        <w:rPr>
          <w:b w:val="0"/>
          <w:color w:val="333333"/>
          <w:sz w:val="24"/>
          <w:szCs w:val="24"/>
          <w:shd w:val="clear" w:color="auto" w:fill="FFFFFF"/>
        </w:rPr>
        <w:t>to směru předávání pravomoci na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nadn</w:t>
      </w:r>
      <w:r w:rsidR="003630D8">
        <w:rPr>
          <w:b w:val="0"/>
          <w:color w:val="333333"/>
          <w:sz w:val="24"/>
          <w:szCs w:val="24"/>
          <w:shd w:val="clear" w:color="auto" w:fill="FFFFFF"/>
        </w:rPr>
        <w:t xml:space="preserve">árodní resp. nadstátní soudní (či jiné </w:t>
      </w:r>
      <w:r>
        <w:rPr>
          <w:b w:val="0"/>
          <w:color w:val="333333"/>
          <w:sz w:val="24"/>
          <w:szCs w:val="24"/>
          <w:shd w:val="clear" w:color="auto" w:fill="FFFFFF"/>
        </w:rPr>
        <w:t>kontrolní) orgány.</w:t>
      </w:r>
      <w:bookmarkStart w:id="0" w:name="_GoBack"/>
      <w:bookmarkEnd w:id="0"/>
    </w:p>
    <w:p w:rsidR="003D5B12" w:rsidRDefault="003D5B12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333333"/>
          <w:sz w:val="24"/>
          <w:szCs w:val="24"/>
          <w:shd w:val="clear" w:color="auto" w:fill="FFFFFF"/>
        </w:rPr>
      </w:pPr>
    </w:p>
    <w:p w:rsidR="003D5B12" w:rsidRPr="003D5B12" w:rsidRDefault="003D5B12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9F1850" w:rsidRPr="003D5B12" w:rsidRDefault="005F0073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 w:rsidRPr="003D5B12">
        <w:rPr>
          <w:b w:val="0"/>
          <w:color w:val="404040"/>
          <w:sz w:val="24"/>
          <w:szCs w:val="24"/>
        </w:rPr>
        <w:t>Mgr. Jiří Kobza</w:t>
      </w:r>
    </w:p>
    <w:p w:rsidR="005F0073" w:rsidRPr="003D5B12" w:rsidRDefault="003D5B12" w:rsidP="003D5B12">
      <w:pPr>
        <w:pStyle w:val="Nadpis2"/>
        <w:shd w:val="clear" w:color="auto" w:fill="FFFFFF"/>
        <w:tabs>
          <w:tab w:val="left" w:pos="1824"/>
        </w:tabs>
        <w:spacing w:before="0" w:beforeAutospacing="0" w:after="150" w:afterAutospacing="0" w:line="360" w:lineRule="auto"/>
        <w:jc w:val="both"/>
        <w:textAlignment w:val="baseline"/>
        <w:rPr>
          <w:b w:val="0"/>
          <w:color w:val="404040"/>
          <w:sz w:val="24"/>
          <w:szCs w:val="24"/>
        </w:rPr>
      </w:pPr>
      <w:r>
        <w:rPr>
          <w:b w:val="0"/>
          <w:color w:val="404040"/>
          <w:sz w:val="24"/>
          <w:szCs w:val="24"/>
        </w:rPr>
        <w:t>p</w:t>
      </w:r>
      <w:r w:rsidR="005F0073" w:rsidRPr="003D5B12">
        <w:rPr>
          <w:b w:val="0"/>
          <w:color w:val="404040"/>
          <w:sz w:val="24"/>
          <w:szCs w:val="24"/>
        </w:rPr>
        <w:t>oslanec PS PČR</w:t>
      </w:r>
    </w:p>
    <w:p w:rsidR="00F42A77" w:rsidRPr="00F42A77" w:rsidRDefault="00F42A77" w:rsidP="00F42A77">
      <w:pPr>
        <w:pStyle w:val="Nadpis2"/>
        <w:shd w:val="clear" w:color="auto" w:fill="FFFFFF"/>
        <w:spacing w:before="600" w:beforeAutospacing="0" w:after="150" w:afterAutospacing="0" w:line="420" w:lineRule="atLeast"/>
        <w:textAlignment w:val="baseline"/>
        <w:rPr>
          <w:rFonts w:ascii="Georgia" w:hAnsi="Georgia"/>
          <w:b w:val="0"/>
          <w:color w:val="404040"/>
          <w:sz w:val="24"/>
          <w:szCs w:val="24"/>
        </w:rPr>
      </w:pPr>
    </w:p>
    <w:p w:rsidR="00F42A77" w:rsidRPr="00F42A77" w:rsidRDefault="00F42A77" w:rsidP="00F42A77">
      <w:pPr>
        <w:pStyle w:val="Nadpis2"/>
        <w:shd w:val="clear" w:color="auto" w:fill="FFFFFF"/>
        <w:spacing w:before="600" w:beforeAutospacing="0" w:after="150" w:afterAutospacing="0" w:line="420" w:lineRule="atLeast"/>
        <w:jc w:val="center"/>
        <w:textAlignment w:val="baseline"/>
        <w:rPr>
          <w:rFonts w:ascii="Georgia" w:hAnsi="Georgia"/>
          <w:color w:val="404040"/>
          <w:sz w:val="30"/>
          <w:szCs w:val="30"/>
        </w:rPr>
      </w:pPr>
    </w:p>
    <w:p w:rsidR="00F42A77" w:rsidRDefault="00F42A77" w:rsidP="00A66149">
      <w:pPr>
        <w:pStyle w:val="PS-overov"/>
      </w:pPr>
    </w:p>
    <w:p w:rsidR="00F42A77" w:rsidRDefault="00F42A77" w:rsidP="00A66149">
      <w:pPr>
        <w:pStyle w:val="PS-overov"/>
      </w:pPr>
    </w:p>
    <w:sectPr w:rsidR="00F42A77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21" w:rsidRDefault="00872721" w:rsidP="00F42A77">
      <w:pPr>
        <w:spacing w:after="0" w:line="240" w:lineRule="auto"/>
      </w:pPr>
      <w:r>
        <w:separator/>
      </w:r>
    </w:p>
  </w:endnote>
  <w:endnote w:type="continuationSeparator" w:id="0">
    <w:p w:rsidR="00872721" w:rsidRDefault="00872721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21" w:rsidRDefault="00872721" w:rsidP="00F42A77">
      <w:pPr>
        <w:spacing w:after="0" w:line="240" w:lineRule="auto"/>
      </w:pPr>
      <w:r>
        <w:separator/>
      </w:r>
    </w:p>
  </w:footnote>
  <w:footnote w:type="continuationSeparator" w:id="0">
    <w:p w:rsidR="00872721" w:rsidRDefault="00872721" w:rsidP="00F4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5B1"/>
    <w:multiLevelType w:val="hybridMultilevel"/>
    <w:tmpl w:val="75F0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4E6877"/>
    <w:multiLevelType w:val="hybridMultilevel"/>
    <w:tmpl w:val="4C420132"/>
    <w:lvl w:ilvl="0" w:tplc="15024F2A">
      <w:start w:val="1"/>
      <w:numFmt w:val="upperRoman"/>
      <w:pStyle w:val="PS-slovanseznam"/>
      <w:lvlText w:val="%1."/>
      <w:lvlJc w:val="left"/>
      <w:pPr>
        <w:ind w:left="235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078" w:hanging="360"/>
      </w:pPr>
    </w:lvl>
    <w:lvl w:ilvl="2" w:tplc="0405001B" w:tentative="1">
      <w:start w:val="1"/>
      <w:numFmt w:val="lowerRoman"/>
      <w:lvlText w:val="%3."/>
      <w:lvlJc w:val="right"/>
      <w:pPr>
        <w:ind w:left="3798" w:hanging="180"/>
      </w:pPr>
    </w:lvl>
    <w:lvl w:ilvl="3" w:tplc="0405000F" w:tentative="1">
      <w:start w:val="1"/>
      <w:numFmt w:val="decimal"/>
      <w:lvlText w:val="%4."/>
      <w:lvlJc w:val="left"/>
      <w:pPr>
        <w:ind w:left="4518" w:hanging="360"/>
      </w:pPr>
    </w:lvl>
    <w:lvl w:ilvl="4" w:tplc="04050019" w:tentative="1">
      <w:start w:val="1"/>
      <w:numFmt w:val="lowerLetter"/>
      <w:lvlText w:val="%5."/>
      <w:lvlJc w:val="left"/>
      <w:pPr>
        <w:ind w:left="5238" w:hanging="360"/>
      </w:pPr>
    </w:lvl>
    <w:lvl w:ilvl="5" w:tplc="0405001B" w:tentative="1">
      <w:start w:val="1"/>
      <w:numFmt w:val="lowerRoman"/>
      <w:lvlText w:val="%6."/>
      <w:lvlJc w:val="right"/>
      <w:pPr>
        <w:ind w:left="5958" w:hanging="180"/>
      </w:pPr>
    </w:lvl>
    <w:lvl w:ilvl="6" w:tplc="0405000F" w:tentative="1">
      <w:start w:val="1"/>
      <w:numFmt w:val="decimal"/>
      <w:lvlText w:val="%7."/>
      <w:lvlJc w:val="left"/>
      <w:pPr>
        <w:ind w:left="6678" w:hanging="360"/>
      </w:pPr>
    </w:lvl>
    <w:lvl w:ilvl="7" w:tplc="04050019" w:tentative="1">
      <w:start w:val="1"/>
      <w:numFmt w:val="lowerLetter"/>
      <w:lvlText w:val="%8."/>
      <w:lvlJc w:val="left"/>
      <w:pPr>
        <w:ind w:left="7398" w:hanging="360"/>
      </w:pPr>
    </w:lvl>
    <w:lvl w:ilvl="8" w:tplc="0405001B" w:tentative="1">
      <w:start w:val="1"/>
      <w:numFmt w:val="lowerRoman"/>
      <w:lvlText w:val="%9."/>
      <w:lvlJc w:val="right"/>
      <w:pPr>
        <w:ind w:left="811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03"/>
    <w:rsid w:val="00007B86"/>
    <w:rsid w:val="000476E4"/>
    <w:rsid w:val="00086E3D"/>
    <w:rsid w:val="00094232"/>
    <w:rsid w:val="000A66D2"/>
    <w:rsid w:val="000C5278"/>
    <w:rsid w:val="000C61A6"/>
    <w:rsid w:val="000E3E2C"/>
    <w:rsid w:val="000E730C"/>
    <w:rsid w:val="00103C04"/>
    <w:rsid w:val="00106842"/>
    <w:rsid w:val="00121C48"/>
    <w:rsid w:val="00137703"/>
    <w:rsid w:val="00173034"/>
    <w:rsid w:val="001869AD"/>
    <w:rsid w:val="001B45F3"/>
    <w:rsid w:val="002146DB"/>
    <w:rsid w:val="00230024"/>
    <w:rsid w:val="00254049"/>
    <w:rsid w:val="00272E1B"/>
    <w:rsid w:val="002A2F32"/>
    <w:rsid w:val="002B0FB6"/>
    <w:rsid w:val="002B2DA8"/>
    <w:rsid w:val="002B3FB9"/>
    <w:rsid w:val="002B60B3"/>
    <w:rsid w:val="002C629E"/>
    <w:rsid w:val="002C6BED"/>
    <w:rsid w:val="002E5D8D"/>
    <w:rsid w:val="003144CE"/>
    <w:rsid w:val="00356011"/>
    <w:rsid w:val="003630D8"/>
    <w:rsid w:val="003642A5"/>
    <w:rsid w:val="00377253"/>
    <w:rsid w:val="003A4422"/>
    <w:rsid w:val="003A4A59"/>
    <w:rsid w:val="003C553D"/>
    <w:rsid w:val="003D2033"/>
    <w:rsid w:val="003D5B12"/>
    <w:rsid w:val="003F124A"/>
    <w:rsid w:val="00404D31"/>
    <w:rsid w:val="0042610C"/>
    <w:rsid w:val="00427CFA"/>
    <w:rsid w:val="00453987"/>
    <w:rsid w:val="00482116"/>
    <w:rsid w:val="004D4A71"/>
    <w:rsid w:val="004F2698"/>
    <w:rsid w:val="005065F5"/>
    <w:rsid w:val="00516E65"/>
    <w:rsid w:val="005227BF"/>
    <w:rsid w:val="00535D07"/>
    <w:rsid w:val="00547E30"/>
    <w:rsid w:val="00566A4C"/>
    <w:rsid w:val="005B24A1"/>
    <w:rsid w:val="005C30D7"/>
    <w:rsid w:val="005E094C"/>
    <w:rsid w:val="005F0073"/>
    <w:rsid w:val="005F5940"/>
    <w:rsid w:val="005F6CAE"/>
    <w:rsid w:val="00620764"/>
    <w:rsid w:val="00632606"/>
    <w:rsid w:val="0064111B"/>
    <w:rsid w:val="006849EA"/>
    <w:rsid w:val="006B15C3"/>
    <w:rsid w:val="006E3ADC"/>
    <w:rsid w:val="006F2A8D"/>
    <w:rsid w:val="006F3501"/>
    <w:rsid w:val="00726A7C"/>
    <w:rsid w:val="007B5964"/>
    <w:rsid w:val="007C62DA"/>
    <w:rsid w:val="007D4D88"/>
    <w:rsid w:val="007D5EE1"/>
    <w:rsid w:val="007E1D0B"/>
    <w:rsid w:val="007E5887"/>
    <w:rsid w:val="007F61CB"/>
    <w:rsid w:val="00812496"/>
    <w:rsid w:val="00830BFE"/>
    <w:rsid w:val="00860643"/>
    <w:rsid w:val="00872721"/>
    <w:rsid w:val="00891E1A"/>
    <w:rsid w:val="00893C29"/>
    <w:rsid w:val="008B3563"/>
    <w:rsid w:val="008C35CF"/>
    <w:rsid w:val="008F4336"/>
    <w:rsid w:val="00903269"/>
    <w:rsid w:val="00920D8B"/>
    <w:rsid w:val="00943F92"/>
    <w:rsid w:val="009A37AB"/>
    <w:rsid w:val="009C30E9"/>
    <w:rsid w:val="009D1537"/>
    <w:rsid w:val="009F1850"/>
    <w:rsid w:val="00A01AC8"/>
    <w:rsid w:val="00A05A68"/>
    <w:rsid w:val="00A46CDA"/>
    <w:rsid w:val="00A66149"/>
    <w:rsid w:val="00AA0D27"/>
    <w:rsid w:val="00B13892"/>
    <w:rsid w:val="00B17BF9"/>
    <w:rsid w:val="00B53E8D"/>
    <w:rsid w:val="00B715B6"/>
    <w:rsid w:val="00B94F22"/>
    <w:rsid w:val="00B954F7"/>
    <w:rsid w:val="00BC09E3"/>
    <w:rsid w:val="00BE3E52"/>
    <w:rsid w:val="00C56014"/>
    <w:rsid w:val="00C567C2"/>
    <w:rsid w:val="00C75121"/>
    <w:rsid w:val="00CF7692"/>
    <w:rsid w:val="00D76FB3"/>
    <w:rsid w:val="00D81772"/>
    <w:rsid w:val="00D86D26"/>
    <w:rsid w:val="00D97F3F"/>
    <w:rsid w:val="00DA6DDE"/>
    <w:rsid w:val="00DC29E4"/>
    <w:rsid w:val="00E41FED"/>
    <w:rsid w:val="00E8565F"/>
    <w:rsid w:val="00E87E46"/>
    <w:rsid w:val="00E9039F"/>
    <w:rsid w:val="00E97A8C"/>
    <w:rsid w:val="00EA45AA"/>
    <w:rsid w:val="00ED15A8"/>
    <w:rsid w:val="00EF3B15"/>
    <w:rsid w:val="00EF4FC1"/>
    <w:rsid w:val="00EF679B"/>
    <w:rsid w:val="00F42A77"/>
    <w:rsid w:val="00F8253F"/>
    <w:rsid w:val="00F86846"/>
    <w:rsid w:val="00FC2E89"/>
    <w:rsid w:val="00FC5DDB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CE1"/>
  <w15:chartTrackingRefBased/>
  <w15:docId w15:val="{76839DED-11A7-4A32-9856-624BD5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9E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F42A7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b/>
      <w:i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3C553D"/>
    <w:pPr>
      <w:pBdr>
        <w:bottom w:val="single" w:sz="4" w:space="12" w:color="auto"/>
      </w:pBdr>
      <w:spacing w:before="600" w:after="40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eastAsia="Times New Roman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3C553D"/>
    <w:pPr>
      <w:spacing w:before="1000" w:after="360"/>
      <w:jc w:val="both"/>
    </w:p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</w:style>
  <w:style w:type="paragraph" w:customStyle="1" w:styleId="PS-slovanseznam">
    <w:name w:val="PS-číslovaný seznam"/>
    <w:basedOn w:val="Normln"/>
    <w:link w:val="PS-slovanseznamChar"/>
    <w:qFormat/>
    <w:rsid w:val="002B3FB9"/>
    <w:pPr>
      <w:numPr>
        <w:numId w:val="6"/>
      </w:numPr>
      <w:tabs>
        <w:tab w:val="left" w:pos="0"/>
      </w:tabs>
      <w:spacing w:after="400"/>
      <w:ind w:left="1996" w:firstLine="357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B3FB9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6F3501"/>
    <w:pPr>
      <w:tabs>
        <w:tab w:val="center" w:pos="1701"/>
        <w:tab w:val="center" w:pos="4536"/>
        <w:tab w:val="center" w:pos="7371"/>
      </w:tabs>
      <w:spacing w:after="0" w:line="240" w:lineRule="auto"/>
    </w:pPr>
    <w:rPr>
      <w:b/>
    </w:rPr>
  </w:style>
  <w:style w:type="character" w:customStyle="1" w:styleId="proloenChar">
    <w:name w:val="proložení Char"/>
    <w:basedOn w:val="Standardnpsmoodstavce"/>
    <w:link w:val="proloen"/>
    <w:rsid w:val="006F3501"/>
    <w:rPr>
      <w:rFonts w:ascii="Times New Roman" w:hAnsi="Times New Roman"/>
      <w:b/>
      <w:sz w:val="24"/>
      <w:szCs w:val="22"/>
      <w:lang w:eastAsia="en-US"/>
    </w:rPr>
  </w:style>
  <w:style w:type="paragraph" w:customStyle="1" w:styleId="PS-podpisnasted">
    <w:name w:val="PS-podpis na střed"/>
    <w:basedOn w:val="Normln"/>
    <w:link w:val="PS-podpisnastedChar"/>
    <w:qFormat/>
    <w:rsid w:val="00404D31"/>
    <w:pPr>
      <w:spacing w:before="800"/>
      <w:jc w:val="center"/>
    </w:pPr>
  </w:style>
  <w:style w:type="paragraph" w:customStyle="1" w:styleId="StylPS-podpisnastedPed50b">
    <w:name w:val="Styl PS-podpis na střed + Před:  50 b."/>
    <w:basedOn w:val="PS-podpisnasted"/>
    <w:link w:val="StylPS-podpisnastedPed50bChar"/>
    <w:rsid w:val="00007B86"/>
    <w:pPr>
      <w:keepNext/>
      <w:spacing w:before="1000"/>
    </w:pPr>
    <w:rPr>
      <w:rFonts w:eastAsia="Times New Roman"/>
      <w:szCs w:val="20"/>
    </w:rPr>
  </w:style>
  <w:style w:type="character" w:customStyle="1" w:styleId="PS-podpisnastedChar">
    <w:name w:val="PS-podpis na střed Char"/>
    <w:basedOn w:val="Standardnpsmoodstavce"/>
    <w:link w:val="PS-podpisnasted"/>
    <w:rsid w:val="00404D31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D31"/>
    <w:rPr>
      <w:rFonts w:ascii="Segoe UI" w:hAnsi="Segoe UI" w:cs="Segoe UI"/>
      <w:sz w:val="18"/>
      <w:szCs w:val="18"/>
      <w:lang w:eastAsia="en-US"/>
    </w:rPr>
  </w:style>
  <w:style w:type="paragraph" w:customStyle="1" w:styleId="PS-jmeno1">
    <w:name w:val="PS-jmeno1"/>
    <w:basedOn w:val="Normln"/>
    <w:next w:val="PS-pedseda"/>
    <w:link w:val="PS-jmeno1Char"/>
    <w:qFormat/>
    <w:rsid w:val="00A66149"/>
    <w:pPr>
      <w:keepNext/>
      <w:spacing w:before="1000" w:after="0"/>
      <w:jc w:val="center"/>
    </w:pPr>
  </w:style>
  <w:style w:type="paragraph" w:customStyle="1" w:styleId="PS-pedseda">
    <w:name w:val="PS-předseda"/>
    <w:basedOn w:val="Normln"/>
    <w:next w:val="PS-jmeno2"/>
    <w:link w:val="PS-pedsedaChar"/>
    <w:qFormat/>
    <w:rsid w:val="00A66149"/>
    <w:pPr>
      <w:keepNext/>
      <w:spacing w:after="0"/>
      <w:jc w:val="center"/>
    </w:pPr>
  </w:style>
  <w:style w:type="character" w:customStyle="1" w:styleId="PS-jmeno1Char">
    <w:name w:val="PS-jmeno1 Char"/>
    <w:basedOn w:val="Standardnpsmoodstavce"/>
    <w:link w:val="PS-jmeno1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jmeno2">
    <w:name w:val="PS-jmeno2"/>
    <w:basedOn w:val="PS-pedseda"/>
    <w:next w:val="PS-overov"/>
    <w:link w:val="PS-jmeno2Char"/>
    <w:qFormat/>
    <w:rsid w:val="00A66149"/>
    <w:pPr>
      <w:spacing w:before="1000"/>
    </w:pPr>
  </w:style>
  <w:style w:type="character" w:customStyle="1" w:styleId="PS-pedsedaChar">
    <w:name w:val="PS-předseda Char"/>
    <w:basedOn w:val="Standardnpsmoodstavce"/>
    <w:link w:val="PS-pedseda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atel">
    <w:name w:val="PS-overovatel"/>
    <w:basedOn w:val="StylPS-podpisnastedPed50b"/>
    <w:link w:val="PS-overovatelChar"/>
    <w:qFormat/>
    <w:rsid w:val="00A66149"/>
    <w:pPr>
      <w:spacing w:before="0" w:after="0"/>
    </w:pPr>
  </w:style>
  <w:style w:type="character" w:customStyle="1" w:styleId="PS-jmeno2Char">
    <w:name w:val="PS-jmeno2 Char"/>
    <w:basedOn w:val="PS-pedsedaChar"/>
    <w:link w:val="PS-jmeno2"/>
    <w:rsid w:val="00A66149"/>
    <w:rPr>
      <w:rFonts w:ascii="Times New Roman" w:hAnsi="Times New Roman"/>
      <w:sz w:val="24"/>
      <w:szCs w:val="22"/>
      <w:lang w:eastAsia="en-US"/>
    </w:rPr>
  </w:style>
  <w:style w:type="paragraph" w:customStyle="1" w:styleId="PS-overov">
    <w:name w:val="PS-overov"/>
    <w:basedOn w:val="PS-jmeno2"/>
    <w:link w:val="PS-overovChar"/>
    <w:qFormat/>
    <w:rsid w:val="00A66149"/>
    <w:pPr>
      <w:spacing w:before="0"/>
    </w:pPr>
  </w:style>
  <w:style w:type="character" w:customStyle="1" w:styleId="StylPS-podpisnastedPed50bChar">
    <w:name w:val="Styl PS-podpis na střed + Před:  50 b. Char"/>
    <w:basedOn w:val="PS-podpisnastedChar"/>
    <w:link w:val="StylPS-podpisnastedPed50b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atelChar">
    <w:name w:val="PS-overovatel Char"/>
    <w:basedOn w:val="StylPS-podpisnastedPed50bChar"/>
    <w:link w:val="PS-overovatel"/>
    <w:rsid w:val="00A66149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PS-overovChar">
    <w:name w:val="PS-overov Char"/>
    <w:basedOn w:val="PS-jmeno2Char"/>
    <w:link w:val="PS-overov"/>
    <w:rsid w:val="00A66149"/>
    <w:rPr>
      <w:rFonts w:ascii="Times New Roman" w:hAnsi="Times New Roman"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42A77"/>
    <w:rPr>
      <w:rFonts w:ascii="Times New Roman" w:eastAsia="Times New Roman" w:hAnsi="Times New Roman"/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F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A7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A77"/>
    <w:rPr>
      <w:rFonts w:ascii="Times New Roman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6B1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462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1680462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Bezchlebova Lenka</dc:creator>
  <cp:keywords/>
  <dc:description/>
  <cp:lastModifiedBy>Kobza Jiří</cp:lastModifiedBy>
  <cp:revision>4</cp:revision>
  <cp:lastPrinted>2016-12-08T06:55:00Z</cp:lastPrinted>
  <dcterms:created xsi:type="dcterms:W3CDTF">2019-04-03T05:48:00Z</dcterms:created>
  <dcterms:modified xsi:type="dcterms:W3CDTF">2019-04-16T11:19:00Z</dcterms:modified>
</cp:coreProperties>
</file>